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Anexo Paraguay</w:t>
      </w:r>
    </w:p>
    <w:p>
      <w:r>
        <w:t>OTRA COPA E.A.S. · RUC 80179692-0</w:t>
      </w:r>
    </w:p>
    <w:p>
      <w:r>
        <w:t>Versión 2026-10-20.corp-arpy.2 · 20 de octubre de 2026</w:t>
      </w:r>
    </w:p>
    <w:p>
      <w:r>
        <w:t>Versión aprobada según comunicación del titular.</w:t>
      </w:r>
    </w:p>
    <w:p>
      <w:r>
        <w:rPr>
          <w:sz w:val="16"/>
        </w:rPr>
        <w:t>SHA-256 de los textos corporativos: a92f939c41f01b16de81075986bc7c6ce7c0186ce786ed6640a3e45c6079a5e2</w:t>
      </w:r>
    </w:p>
    <w:p>
      <w:pPr>
        <w:pStyle w:val="Heading1"/>
      </w:pPr>
      <w:r>
        <w:t>1. Prestadora e información accesible</w:t>
      </w:r>
    </w:p>
    <w:p>
      <w:pPr>
        <w:pStyle w:val="BodyText"/>
      </w:pPr>
      <w:r>
        <w:t>La prestadora de la plataforma es OTRA COPA E.A.S., RUC 80179692-0, domicilio legal Oliva 1019, Asunción, Paraguay. Debe ofrecerse la identificación y contacto adicional que exija el art. 7 de la Ley 4.868, junto con información previa clara sobre trámites, corrección de errores, condiciones de la oferta y documentación de la contratación. La contratación electrónica con consumidores se presume celebrada en su residencia habitual conforme al art. 29 de esa ley.</w:t>
      </w:r>
    </w:p>
    <w:p>
      <w:pPr>
        <w:pStyle w:val="BodyText"/>
      </w:pPr>
      <w:r>
        <w:t>No se presentan los términos como una forma de convertir a los socios en prestadores personales ni de eximir responsabilidades que la ley establezca. La identificación complementaria del proveedor debe completarse con datos ciertos antes de publicar; no habilita divulgar documentos de identidad o domicilios particulares innecesarios.</w:t>
      </w:r>
    </w:p>
    <w:p>
      <w:pPr>
        <w:pStyle w:val="Heading1"/>
      </w:pPr>
      <w:r>
        <w:t>2. Retracto y servicios programados</w:t>
      </w:r>
    </w:p>
    <w:p>
      <w:pPr>
        <w:pStyle w:val="BodyText"/>
      </w:pPr>
      <w:r>
        <w:t>Cuando corresponda, se aplica el retracto del art. 30 de la Ley 4.868: cinco días hábiles desde la recepción del producto o servicio y sus condiciones legales, con simple notificación electrónica. El régimen distingue servicios utilizados y costos legalmente procedentes; no autoriza una retención arbitraria de todo lo pagado.</w:t>
      </w:r>
    </w:p>
    <w:p>
      <w:pPr>
        <w:pStyle w:val="BodyText"/>
      </w:pPr>
      <w:r>
        <w:t>El art. 31 prevé excepciones. Para alojamiento, transporte, banquetes y servicios recreativos programados para una fecha específica contempla la notificación con al menos cinco días hábiles de anticipación. Debe examinarse la operación antes de aplicar esa regla: no se equiparan automáticamente todos los contratos de la app ni se importa el plazo argentino.</w:t>
      </w:r>
    </w:p>
    <w:p>
      <w:pPr>
        <w:pStyle w:val="BodyText"/>
      </w:pPr>
      <w:r>
        <w:t>La política contractual de cancelación opera sin eliminar el retracto, la reparación por incumplimiento ni otros derechos legales. La notificación de un reclamo se registra y se deriva al responsable del servicio sin dejar al consumidor sin canal. Se respeta también el mecanismo de reclamo del art. 17 ante diferencias entre oferta y prestación, sin reducir otras garantías legales.</w:t>
      </w:r>
    </w:p>
    <w:p>
      <w:pPr>
        <w:pStyle w:val="Heading1"/>
      </w:pPr>
      <w:r>
        <w:t>3. Condiciones no abusivas</w:t>
      </w:r>
    </w:p>
    <w:p>
      <w:pPr>
        <w:pStyle w:val="BodyText"/>
      </w:pPr>
      <w:r>
        <w:t>Se aplica la Ley 1.334 y su art. 28 reformado por Ley 5.427. No se utiliza el silencio como aceptación, arbitraje obligatorio ni una potestad general para modificar precio, rescindir o restringir servicios sin los requisitos legales. Tampoco se invierte la carga probatoria en perjuicio del consumidor ni se excluyen de forma absoluta daños o reintegros que correspondan.</w:t>
      </w:r>
    </w:p>
    <w:p>
      <w:pPr>
        <w:pStyle w:val="BodyText"/>
      </w:pPr>
      <w:r>
        <w:t>La plataforma conserva facultades legítimas de seguridad y moderación, aplicadas de forma proporcionada y dentro del marco legal. Las condiciones particulares del complejo o torneo no prevalecen sobre esas limitaciones.</w:t>
      </w:r>
    </w:p>
    <w:p>
      <w:pPr>
        <w:pStyle w:val="Heading1"/>
      </w:pPr>
      <w:r>
        <w:t>4. Intermediación, reclamos y datos</w:t>
      </w:r>
    </w:p>
    <w:p>
      <w:pPr>
        <w:pStyle w:val="BodyText"/>
      </w:pPr>
      <w:r>
        <w:t>El régimen de responsabilidad depende de la función realmente prestada y de los requisitos legales, no de llamarse «intermediario». Si la empresa pretende invocar las limitaciones específicas de la Ley 4.868, debe cumplir, entre otros extremos aplicables, la designación, accesibilidad y comunicación del representante previstas por su art. 19. La asignación interna de Fer a soporte no acredita por sí sola ese trámite.</w:t>
      </w:r>
    </w:p>
    <w:p>
      <w:pPr>
        <w:pStyle w:val="BodyText"/>
      </w:pPr>
      <w:r>
        <w:t>Se mantienen canales de reclamo y retiro de contenidos ilícitos. La privacidad se rige por la política separada, las garantías constitucionales y las normas vigentes pertinentes. La Ley 7.593/2025 prevé entrada en vigor a los veinticuatro meses de su publicación oficial; esta revisión no la trata como plenamente vigente en octubre de 2026 ni utiliza una fecha de publicación de página web para calcular ese término.</w:t>
      </w:r>
    </w:p>
    <w:p>
      <w:pPr>
        <w:pStyle w:val="BodyText"/>
      </w:pPr>
      <w:r>
        <w:t>Bases de revisión: Constitución, arts. 33, 36 y 135; Ley 1.334/1998 y reforma 5.427/2015; Ley 4.868/2013, en especial arts. 7, 17, 19 y 28–31; Ley 6.480; Ley 7.593/2025, art. 57. La condición societaria, fiscal y las autorizaciones del evento requieren su revisión propia.</w:t>
      </w:r>
    </w:p>
    <w:sectPr w:rsidR="00FC693F" w:rsidRPr="0006063C" w:rsidSect="00034616">
      <w:footerReference w:type="default" r:id="rId9"/>
      <w:pgSz w:w="12240" w:h="15840"/>
      <w:pgMar w:top="1037" w:right="1181" w:bottom="1037" w:left="1181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OTRA COPA E.A.S. · 2026-10-20.corp-arpy.2 ·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4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widowControl/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24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widowControl/>
      <w:spacing w:after="24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keepNext w:val="0"/>
      <w:widowControl/>
      <w:spacing w:after="120"/>
    </w:pPr>
    <w:rPr>
      <w:rFonts w:ascii="Arial" w:hAnsi="Arial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Paraguay</dc:title>
  <dc:subject>Exportación literal A1</dc:subject>
  <dc:creator>OTRA COPA E.A.S.</dc:creator>
  <cp:keywords>2026-10-20.corp-arpy.2</cp:keywords>
  <dc:description>generated by python-docx</dc:description>
  <cp:lastModifiedBy>OTRA COPA E.A.S.</cp:lastModifiedBy>
  <cp:revision>1</cp:revision>
  <dcterms:created xsi:type="dcterms:W3CDTF">2013-12-23T23:15:00Z</dcterms:created>
  <dcterms:modified xsi:type="dcterms:W3CDTF">2013-12-23T23:15:00Z</dcterms:modified>
  <cp:category/>
</cp:coreProperties>
</file>